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D1" w:rsidRPr="009D45F5" w:rsidRDefault="00A433D1" w:rsidP="00A433D1">
      <w:pPr>
        <w:pStyle w:val="a4"/>
        <w:spacing w:before="150" w:beforeAutospacing="0" w:after="150" w:afterAutospacing="0"/>
        <w:rPr>
          <w:sz w:val="28"/>
          <w:szCs w:val="28"/>
        </w:rPr>
      </w:pPr>
      <w:r w:rsidRPr="009D45F5">
        <w:rPr>
          <w:sz w:val="28"/>
          <w:szCs w:val="28"/>
        </w:rPr>
        <w:t>Лекция 1</w:t>
      </w:r>
      <w:r w:rsidRPr="009D45F5">
        <w:rPr>
          <w:sz w:val="28"/>
          <w:szCs w:val="28"/>
          <w:lang w:val="kk-KZ"/>
        </w:rPr>
        <w:t>3</w:t>
      </w:r>
      <w:r w:rsidRPr="009D45F5">
        <w:rPr>
          <w:sz w:val="28"/>
          <w:szCs w:val="28"/>
        </w:rPr>
        <w:t>.Модель стратегической прибыли. Сферы применения в логистике</w:t>
      </w:r>
    </w:p>
    <w:p w:rsidR="00A433D1" w:rsidRPr="00E44E81" w:rsidRDefault="00A433D1" w:rsidP="00A433D1">
      <w:pPr>
        <w:pStyle w:val="1"/>
        <w:shd w:val="clear" w:color="auto" w:fill="CCCCCC"/>
        <w:spacing w:before="0"/>
        <w:ind w:firstLine="150"/>
        <w:jc w:val="both"/>
        <w:rPr>
          <w:rFonts w:ascii="Palatino Linotype" w:hAnsi="Palatino Linotype"/>
          <w:color w:val="000000"/>
          <w:sz w:val="28"/>
          <w:szCs w:val="28"/>
        </w:rPr>
      </w:pPr>
      <w:r w:rsidRPr="00E44E81">
        <w:rPr>
          <w:rFonts w:ascii="Palatino Linotype" w:hAnsi="Palatino Linotype"/>
          <w:color w:val="000000"/>
          <w:sz w:val="28"/>
          <w:szCs w:val="28"/>
        </w:rPr>
        <w:t>Модель стратегической прибыли (факторная модель)</w:t>
      </w:r>
    </w:p>
    <w:p w:rsidR="00A433D1" w:rsidRPr="00E44E81" w:rsidRDefault="00A433D1" w:rsidP="00A433D1">
      <w:pPr>
        <w:pStyle w:val="a4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E44E81">
        <w:rPr>
          <w:rFonts w:ascii="Palatino Linotype" w:hAnsi="Palatino Linotype"/>
          <w:color w:val="000000"/>
          <w:sz w:val="28"/>
          <w:szCs w:val="28"/>
        </w:rPr>
        <w:t xml:space="preserve">В качестве </w:t>
      </w:r>
      <w:proofErr w:type="gramStart"/>
      <w:r w:rsidRPr="00E44E81">
        <w:rPr>
          <w:rFonts w:ascii="Palatino Linotype" w:hAnsi="Palatino Linotype"/>
          <w:color w:val="000000"/>
          <w:sz w:val="28"/>
          <w:szCs w:val="28"/>
        </w:rPr>
        <w:t>оценки изменения рентабельности бизнеса компании</w:t>
      </w:r>
      <w:proofErr w:type="gramEnd"/>
      <w:r w:rsidRPr="00E44E81">
        <w:rPr>
          <w:rFonts w:ascii="Palatino Linotype" w:hAnsi="Palatino Linotype"/>
          <w:color w:val="000000"/>
          <w:sz w:val="28"/>
          <w:szCs w:val="28"/>
        </w:rPr>
        <w:t xml:space="preserve"> может быть использована </w:t>
      </w:r>
      <w:r w:rsidRPr="00E44E81">
        <w:rPr>
          <w:rFonts w:ascii="Palatino Linotype" w:hAnsi="Palatino Linotype"/>
          <w:i/>
          <w:iCs/>
          <w:color w:val="000000"/>
          <w:sz w:val="28"/>
          <w:szCs w:val="28"/>
        </w:rPr>
        <w:t>модель стратегической прибыли</w:t>
      </w:r>
      <w:r w:rsidRPr="00E44E81">
        <w:rPr>
          <w:rFonts w:ascii="Palatino Linotype" w:hAnsi="Palatino Linotype"/>
          <w:color w:val="000000"/>
          <w:sz w:val="28"/>
          <w:szCs w:val="28"/>
        </w:rPr>
        <w:t> (</w:t>
      </w:r>
      <w:r w:rsidRPr="00E44E81">
        <w:rPr>
          <w:rFonts w:ascii="Palatino Linotype" w:hAnsi="Palatino Linotype"/>
          <w:i/>
          <w:iCs/>
          <w:color w:val="000000"/>
          <w:sz w:val="28"/>
          <w:szCs w:val="28"/>
        </w:rPr>
        <w:t>модель фирмы Дюпон</w:t>
      </w:r>
      <w:r w:rsidRPr="00E44E81">
        <w:rPr>
          <w:rFonts w:ascii="Palatino Linotype" w:hAnsi="Palatino Linotype"/>
          <w:color w:val="000000"/>
          <w:sz w:val="28"/>
          <w:szCs w:val="28"/>
        </w:rPr>
        <w:t> – </w:t>
      </w:r>
      <w:proofErr w:type="spellStart"/>
      <w:r w:rsidRPr="00E44E81">
        <w:rPr>
          <w:rFonts w:ascii="Palatino Linotype" w:hAnsi="Palatino Linotype"/>
          <w:i/>
          <w:iCs/>
          <w:color w:val="000000"/>
          <w:sz w:val="28"/>
          <w:szCs w:val="28"/>
        </w:rPr>
        <w:t>The</w:t>
      </w:r>
      <w:proofErr w:type="spellEnd"/>
      <w:r w:rsidRPr="00E44E81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44E81">
        <w:rPr>
          <w:rFonts w:ascii="Palatino Linotype" w:hAnsi="Palatino Linotype"/>
          <w:color w:val="000000"/>
          <w:sz w:val="28"/>
          <w:szCs w:val="28"/>
        </w:rPr>
        <w:t>DuPontSystemofAnalysis</w:t>
      </w:r>
      <w:proofErr w:type="spellEnd"/>
      <w:r w:rsidRPr="00E44E81">
        <w:rPr>
          <w:rFonts w:ascii="Palatino Linotype" w:hAnsi="Palatino Linotype"/>
          <w:color w:val="000000"/>
          <w:sz w:val="28"/>
          <w:szCs w:val="28"/>
        </w:rPr>
        <w:t>). Итоговым показателем модели является рентабельность собственного капитала (ROE), а составляющими элементами – факторы производственно-хозяйственной и финансовой деятельности предприятия, которые разделяются на составляющие более низкого порядка. Среди основных факторов модели можно выделить следующие.</w:t>
      </w:r>
    </w:p>
    <w:p w:rsidR="00A433D1" w:rsidRPr="00E44E81" w:rsidRDefault="00A433D1" w:rsidP="00A433D1">
      <w:pPr>
        <w:numPr>
          <w:ilvl w:val="0"/>
          <w:numId w:val="1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1. 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Рентабельность продаж</w:t>
      </w:r>
      <w:r w:rsidRPr="00E44E81">
        <w:rPr>
          <w:rFonts w:ascii="Palatino Linotype" w:hAnsi="Palatino Linotype"/>
          <w:color w:val="242424"/>
          <w:sz w:val="28"/>
          <w:szCs w:val="28"/>
        </w:rPr>
        <w:t> (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маржа чистой прибыли</w:t>
      </w:r>
      <w:r w:rsidRPr="00E44E81">
        <w:rPr>
          <w:rFonts w:ascii="Palatino Linotype" w:hAnsi="Palatino Linotype"/>
          <w:color w:val="242424"/>
          <w:sz w:val="28"/>
          <w:szCs w:val="28"/>
        </w:rPr>
        <w:t xml:space="preserve">), источником </w:t>
      </w:r>
      <w:proofErr w:type="gramStart"/>
      <w:r w:rsidRPr="00E44E81">
        <w:rPr>
          <w:rFonts w:ascii="Palatino Linotype" w:hAnsi="Palatino Linotype"/>
          <w:color w:val="242424"/>
          <w:sz w:val="28"/>
          <w:szCs w:val="28"/>
        </w:rPr>
        <w:t>информации</w:t>
      </w:r>
      <w:proofErr w:type="gramEnd"/>
      <w:r w:rsidRPr="00E44E81">
        <w:rPr>
          <w:rFonts w:ascii="Palatino Linotype" w:hAnsi="Palatino Linotype"/>
          <w:color w:val="242424"/>
          <w:sz w:val="28"/>
          <w:szCs w:val="28"/>
        </w:rPr>
        <w:t xml:space="preserve"> для расчета которой является "Отчет о прибылях и убытках" (форма № 2 бухгалтерской отчетности).</w:t>
      </w:r>
    </w:p>
    <w:p w:rsidR="00A433D1" w:rsidRPr="00E44E81" w:rsidRDefault="00A433D1" w:rsidP="00A433D1">
      <w:pPr>
        <w:numPr>
          <w:ilvl w:val="0"/>
          <w:numId w:val="1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2. 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Эффективность использования активов</w:t>
      </w:r>
      <w:r w:rsidRPr="00E44E81">
        <w:rPr>
          <w:rFonts w:ascii="Palatino Linotype" w:hAnsi="Palatino Linotype"/>
          <w:color w:val="242424"/>
          <w:sz w:val="28"/>
          <w:szCs w:val="28"/>
        </w:rPr>
        <w:t> (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оборачиваемость активов</w:t>
      </w:r>
      <w:r w:rsidRPr="00E44E81">
        <w:rPr>
          <w:rFonts w:ascii="Palatino Linotype" w:hAnsi="Palatino Linotype"/>
          <w:color w:val="242424"/>
          <w:sz w:val="28"/>
          <w:szCs w:val="28"/>
        </w:rPr>
        <w:t>) 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–</w:t>
      </w:r>
      <w:r w:rsidRPr="00E44E81">
        <w:rPr>
          <w:rFonts w:ascii="Palatino Linotype" w:hAnsi="Palatino Linotype"/>
          <w:color w:val="242424"/>
          <w:sz w:val="28"/>
          <w:szCs w:val="28"/>
        </w:rPr>
        <w:t> обобщает показатели, представленные в следующих разделах баланса (формы № 1): I "</w:t>
      </w:r>
      <w:proofErr w:type="spellStart"/>
      <w:r w:rsidRPr="00E44E81">
        <w:rPr>
          <w:rFonts w:ascii="Palatino Linotype" w:hAnsi="Palatino Linotype"/>
          <w:color w:val="242424"/>
          <w:sz w:val="28"/>
          <w:szCs w:val="28"/>
        </w:rPr>
        <w:t>Внеоборотные</w:t>
      </w:r>
      <w:proofErr w:type="spellEnd"/>
      <w:r w:rsidRPr="00E44E81">
        <w:rPr>
          <w:rFonts w:ascii="Palatino Linotype" w:hAnsi="Palatino Linotype"/>
          <w:color w:val="242424"/>
          <w:sz w:val="28"/>
          <w:szCs w:val="28"/>
        </w:rPr>
        <w:t xml:space="preserve"> активы" и II "Оборотные активы".</w:t>
      </w:r>
    </w:p>
    <w:p w:rsidR="00A433D1" w:rsidRPr="00E44E81" w:rsidRDefault="00A433D1" w:rsidP="00A433D1">
      <w:pPr>
        <w:numPr>
          <w:ilvl w:val="0"/>
          <w:numId w:val="1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3. 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Финансовый рычаг,</w:t>
      </w:r>
      <w:r w:rsidRPr="00E44E81">
        <w:rPr>
          <w:rFonts w:ascii="Palatino Linotype" w:hAnsi="Palatino Linotype"/>
          <w:color w:val="242424"/>
          <w:sz w:val="28"/>
          <w:szCs w:val="28"/>
        </w:rPr>
        <w:t> рассчитываемый на основании информации из пассивного раздела баланса предприятия, который отражает структуру капитала, авансированного в деятельность предприятия:</w:t>
      </w:r>
    </w:p>
    <w:p w:rsidR="00A433D1" w:rsidRPr="00E44E81" w:rsidRDefault="00A433D1" w:rsidP="00A433D1">
      <w:pPr>
        <w:pStyle w:val="a4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E44E81">
        <w:rPr>
          <w:rFonts w:ascii="Palatino Linotype" w:hAnsi="Palatino Linotype"/>
          <w:noProof/>
          <w:color w:val="000000"/>
          <w:sz w:val="28"/>
          <w:szCs w:val="28"/>
        </w:rPr>
        <w:drawing>
          <wp:inline distT="0" distB="0" distL="0" distR="0">
            <wp:extent cx="2333625" cy="314325"/>
            <wp:effectExtent l="0" t="0" r="9525" b="9525"/>
            <wp:docPr id="17" name="Рисунок 17" descr="https://studme.org/imag/logist/serg_logsn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me.org/imag/logist/serg_logsn/image0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81">
        <w:rPr>
          <w:rFonts w:ascii="Palatino Linotype" w:hAnsi="Palatino Linotype"/>
          <w:color w:val="000000"/>
          <w:sz w:val="28"/>
          <w:szCs w:val="28"/>
        </w:rPr>
        <w:t> (4.13)</w:t>
      </w:r>
    </w:p>
    <w:p w:rsidR="00A433D1" w:rsidRPr="00E44E81" w:rsidRDefault="00A433D1" w:rsidP="00A433D1">
      <w:pPr>
        <w:pStyle w:val="a4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E44E81">
        <w:rPr>
          <w:rFonts w:ascii="Palatino Linotype" w:hAnsi="Palatino Linotype"/>
          <w:color w:val="000000"/>
          <w:sz w:val="28"/>
          <w:szCs w:val="28"/>
        </w:rPr>
        <w:t xml:space="preserve">где "общий капитал" представляет собой сумму по всем источникам формирования активов, отражаемых в следующих разделах баланса: </w:t>
      </w:r>
      <w:proofErr w:type="gramStart"/>
      <w:r w:rsidRPr="00E44E81">
        <w:rPr>
          <w:rFonts w:ascii="Palatino Linotype" w:hAnsi="Palatino Linotype"/>
          <w:color w:val="000000"/>
          <w:sz w:val="28"/>
          <w:szCs w:val="28"/>
        </w:rPr>
        <w:t>III ("Капитал и резервы"), IV ("Долгосрочные обязательства") и V ("Краткосрочные обязательства") (среди долгосрочных и краткосрочных обязательств можно выделить: займы и кредиты, подлежащие погашению как в течение 12 месяцев после отчетной даты, так и более, кредиторскую задолженность, доходы будущих периодов);</w:t>
      </w:r>
      <w:proofErr w:type="gramEnd"/>
      <w:r w:rsidRPr="00E44E81">
        <w:rPr>
          <w:rFonts w:ascii="Palatino Linotype" w:hAnsi="Palatino Linotype"/>
          <w:color w:val="000000"/>
          <w:sz w:val="28"/>
          <w:szCs w:val="28"/>
        </w:rPr>
        <w:t> </w:t>
      </w:r>
      <w:r w:rsidRPr="00E44E81">
        <w:rPr>
          <w:rFonts w:ascii="Palatino Linotype" w:hAnsi="Palatino Linotype"/>
          <w:i/>
          <w:iCs/>
          <w:color w:val="000000"/>
          <w:sz w:val="28"/>
          <w:szCs w:val="28"/>
        </w:rPr>
        <w:t>"Собственный капитал"</w:t>
      </w:r>
      <w:r w:rsidRPr="00E44E81">
        <w:rPr>
          <w:rFonts w:ascii="Palatino Linotype" w:hAnsi="Palatino Linotype"/>
          <w:color w:val="000000"/>
          <w:sz w:val="28"/>
          <w:szCs w:val="28"/>
        </w:rPr>
        <w:t xml:space="preserve"> отражает только источники формирования активов по III разделу баланса (например, уставный капитал, нераспределенная прибыль и непокрытый </w:t>
      </w:r>
      <w:proofErr w:type="gramStart"/>
      <w:r w:rsidRPr="00E44E81">
        <w:rPr>
          <w:rFonts w:ascii="Palatino Linotype" w:hAnsi="Palatino Linotype"/>
          <w:color w:val="000000"/>
          <w:sz w:val="28"/>
          <w:szCs w:val="28"/>
        </w:rPr>
        <w:t>убыток</w:t>
      </w:r>
      <w:proofErr w:type="gramEnd"/>
      <w:r w:rsidRPr="00E44E81">
        <w:rPr>
          <w:rFonts w:ascii="Palatino Linotype" w:hAnsi="Palatino Linotype"/>
          <w:color w:val="000000"/>
          <w:sz w:val="28"/>
          <w:szCs w:val="28"/>
        </w:rPr>
        <w:t xml:space="preserve"> как прошлых лет, так и отчетного периода).</w:t>
      </w:r>
    </w:p>
    <w:p w:rsidR="00A433D1" w:rsidRPr="00E44E81" w:rsidRDefault="00A433D1" w:rsidP="00A433D1">
      <w:pPr>
        <w:pStyle w:val="a4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E44E81">
        <w:rPr>
          <w:rFonts w:ascii="Palatino Linotype" w:hAnsi="Palatino Linotype"/>
          <w:color w:val="000000"/>
          <w:sz w:val="28"/>
          <w:szCs w:val="28"/>
        </w:rPr>
        <w:lastRenderedPageBreak/>
        <w:t>Рассмотрим более подробно состав и связь отдельных блоков модели с некоторыми показателями форм бухгалтерской отчетности.</w:t>
      </w:r>
    </w:p>
    <w:p w:rsidR="00A433D1" w:rsidRPr="00E44E81" w:rsidRDefault="00A433D1" w:rsidP="00A433D1">
      <w:pPr>
        <w:numPr>
          <w:ilvl w:val="0"/>
          <w:numId w:val="2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1. Отчет о прибылях и убытках</w:t>
      </w:r>
    </w:p>
    <w:p w:rsidR="00A433D1" w:rsidRPr="00E44E81" w:rsidRDefault="00A433D1" w:rsidP="00A433D1">
      <w:pPr>
        <w:numPr>
          <w:ilvl w:val="0"/>
          <w:numId w:val="2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1.1. 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Валовые поступления от продаж</w:t>
      </w:r>
      <w:r w:rsidRPr="00E44E81">
        <w:rPr>
          <w:rFonts w:ascii="Palatino Linotype" w:hAnsi="Palatino Linotype"/>
          <w:color w:val="242424"/>
          <w:sz w:val="28"/>
          <w:szCs w:val="28"/>
        </w:rPr>
        <w:t> – 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выручка</w:t>
      </w:r>
      <w:r w:rsidRPr="00E44E81">
        <w:rPr>
          <w:rFonts w:ascii="Palatino Linotype" w:hAnsi="Palatino Linotype"/>
          <w:color w:val="242424"/>
          <w:sz w:val="28"/>
          <w:szCs w:val="28"/>
        </w:rPr>
        <w:t> (денежный доход), полученная компанией от покупателей (заказчиков) за проданную продукцию, выполненные работы (оказанные услуги)</w:t>
      </w:r>
      <w:bookmarkStart w:id="0" w:name="annot_1"/>
      <w:r w:rsidRPr="00E44E81">
        <w:rPr>
          <w:rFonts w:ascii="Palatino Linotype" w:hAnsi="Palatino Linotype"/>
          <w:color w:val="242424"/>
          <w:sz w:val="28"/>
          <w:szCs w:val="28"/>
          <w:vertAlign w:val="superscript"/>
        </w:rPr>
        <w:fldChar w:fldCharType="begin"/>
      </w:r>
      <w:r w:rsidRPr="00E44E81">
        <w:rPr>
          <w:rFonts w:ascii="Palatino Linotype" w:hAnsi="Palatino Linotype"/>
          <w:color w:val="242424"/>
          <w:sz w:val="28"/>
          <w:szCs w:val="28"/>
          <w:vertAlign w:val="superscript"/>
        </w:rPr>
        <w:instrText xml:space="preserve"> HYPERLINK "https://studme.org/49123/logistika/model_strategicheskoy_pribyli_faktornaya_model" \l "gads_btm" </w:instrText>
      </w:r>
      <w:r w:rsidRPr="00E44E81">
        <w:rPr>
          <w:rFonts w:ascii="Palatino Linotype" w:hAnsi="Palatino Linotype"/>
          <w:color w:val="242424"/>
          <w:sz w:val="28"/>
          <w:szCs w:val="28"/>
          <w:vertAlign w:val="superscript"/>
        </w:rPr>
        <w:fldChar w:fldCharType="separate"/>
      </w:r>
      <w:r w:rsidRPr="00E44E81">
        <w:rPr>
          <w:rStyle w:val="a3"/>
          <w:rFonts w:ascii="Palatino Linotype" w:hAnsi="Palatino Linotype"/>
          <w:color w:val="1FA2D6"/>
          <w:sz w:val="28"/>
          <w:szCs w:val="28"/>
          <w:vertAlign w:val="superscript"/>
        </w:rPr>
        <w:t>[1]</w:t>
      </w:r>
      <w:r w:rsidRPr="00E44E81">
        <w:rPr>
          <w:rFonts w:ascii="Palatino Linotype" w:hAnsi="Palatino Linotype"/>
          <w:color w:val="242424"/>
          <w:sz w:val="28"/>
          <w:szCs w:val="28"/>
          <w:vertAlign w:val="superscript"/>
        </w:rPr>
        <w:fldChar w:fldCharType="end"/>
      </w:r>
      <w:bookmarkEnd w:id="0"/>
      <w:r w:rsidRPr="00E44E81">
        <w:rPr>
          <w:rFonts w:ascii="Palatino Linotype" w:hAnsi="Palatino Linotype"/>
          <w:color w:val="242424"/>
          <w:sz w:val="28"/>
          <w:szCs w:val="28"/>
        </w:rPr>
        <w:t>.</w:t>
      </w:r>
    </w:p>
    <w:p w:rsidR="00A433D1" w:rsidRPr="00E44E81" w:rsidRDefault="00A433D1" w:rsidP="00A433D1">
      <w:pPr>
        <w:numPr>
          <w:ilvl w:val="0"/>
          <w:numId w:val="2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1.2. 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Себестоимость реализованной продукции –</w:t>
      </w:r>
      <w:r w:rsidRPr="00E44E81">
        <w:rPr>
          <w:rFonts w:ascii="Palatino Linotype" w:hAnsi="Palatino Linotype"/>
          <w:color w:val="242424"/>
          <w:sz w:val="28"/>
          <w:szCs w:val="28"/>
        </w:rPr>
        <w:t> информация о расходах по обычным видам деятельности, которые сформировали себестоимость проданных товаров, выполненных работ и оказанных услуг (себестоимость продаж).</w:t>
      </w:r>
    </w:p>
    <w:p w:rsidR="00A433D1" w:rsidRPr="00E44E81" w:rsidRDefault="00A433D1" w:rsidP="00A433D1">
      <w:pPr>
        <w:pStyle w:val="a4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proofErr w:type="gramStart"/>
      <w:r w:rsidRPr="00E44E81">
        <w:rPr>
          <w:rFonts w:ascii="Palatino Linotype" w:hAnsi="Palatino Linotype"/>
          <w:color w:val="000000"/>
          <w:sz w:val="28"/>
          <w:szCs w:val="28"/>
        </w:rPr>
        <w:t>Для организаций торговли покупная стоимость товаров (фактическая себестоимость) включает в себя суммы, уплачиваемые продавцу за поставленный товар в соответствии с договором купли-продажи (без учета НДС), транспортно- заготовительные расходы, таможенные пошлины, невозмещаемые налоги, уплачиваемые в связи с приобретением единицы материально-производственных запасов, и др. Все остальные расходы – на административно-управленческие нужды, продажу товаров – считаются расходами отчетного периода.</w:t>
      </w:r>
      <w:proofErr w:type="gramEnd"/>
    </w:p>
    <w:p w:rsidR="00A433D1" w:rsidRPr="00E44E81" w:rsidRDefault="00A433D1" w:rsidP="00A433D1">
      <w:pPr>
        <w:pStyle w:val="a4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E44E81">
        <w:rPr>
          <w:rFonts w:ascii="Palatino Linotype" w:hAnsi="Palatino Linotype"/>
          <w:color w:val="000000"/>
          <w:sz w:val="28"/>
          <w:szCs w:val="28"/>
        </w:rPr>
        <w:t>На промышленных предприятиях все прямые производственные расходы включаются в себестоимость продукции (в соответствии с учетной политикой), в то время как непроизводственные расходы относятся к расходам отчетного периода.</w:t>
      </w:r>
    </w:p>
    <w:p w:rsidR="00A433D1" w:rsidRPr="00E44E81" w:rsidRDefault="00A433D1" w:rsidP="00A433D1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1.3. 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Переменные затраты</w:t>
      </w:r>
      <w:r w:rsidRPr="00E44E81">
        <w:rPr>
          <w:rFonts w:ascii="Palatino Linotype" w:hAnsi="Palatino Linotype"/>
          <w:color w:val="242424"/>
          <w:sz w:val="28"/>
          <w:szCs w:val="28"/>
        </w:rPr>
        <w:t> – расходы по обычным видам деятельности, связанные с продажей продукции, товаров, работ и услуг (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коммерческие расходы</w:t>
      </w:r>
      <w:r w:rsidRPr="00E44E81">
        <w:rPr>
          <w:rFonts w:ascii="Palatino Linotype" w:hAnsi="Palatino Linotype"/>
          <w:color w:val="242424"/>
          <w:sz w:val="28"/>
          <w:szCs w:val="28"/>
        </w:rPr>
        <w:t>):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на затаривание и упаковку изделий на складах готовой продукции;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погрузку продукции в вагоны, суда, автомобили и другие транспортные средства;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доставку продукции к местам отправления и стоимость доставки получателям;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рекламу и представительские расходы, комиссионные торговых агентов;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хранение и подработку товаров, в том числе аренду торговых помещений и складов готовой продукции;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lastRenderedPageBreak/>
        <w:t>– страхование отгруженных товаров, продукции и коммерческих рисков;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покрытие недостачи товаров (продукции) в пределах норм естественной убыли.</w:t>
      </w:r>
    </w:p>
    <w:p w:rsidR="00A433D1" w:rsidRPr="00E44E81" w:rsidRDefault="00A433D1" w:rsidP="00A433D1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1.4. 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Постоянные затраты</w:t>
      </w:r>
      <w:r w:rsidRPr="00E44E81">
        <w:rPr>
          <w:rFonts w:ascii="Palatino Linotype" w:hAnsi="Palatino Linotype"/>
          <w:color w:val="242424"/>
          <w:sz w:val="28"/>
          <w:szCs w:val="28"/>
        </w:rPr>
        <w:t> – расходы по обычным видам деятельности, возникающие в процессе управления организацией и обусловленные ее содержанием как единого финансово-имущественного комплекса и не связанные с деловой активностью (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управленческие и общехозяйственные расходы</w:t>
      </w:r>
      <w:r w:rsidRPr="00E44E81">
        <w:rPr>
          <w:rFonts w:ascii="Palatino Linotype" w:hAnsi="Palatino Linotype"/>
          <w:color w:val="242424"/>
          <w:sz w:val="28"/>
          <w:szCs w:val="28"/>
        </w:rPr>
        <w:t>):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административно-управленческие расходы;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на содержание общехозяйственного персонала, не связанного с производственным процессом;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амортизационные отчисления и расходы на ремонт основных фондов управленческого и общехозяйственного назначения;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расходы по оплате информационных, аудиторских, консультационных услуг;</w:t>
      </w:r>
    </w:p>
    <w:p w:rsidR="00A433D1" w:rsidRPr="00E44E81" w:rsidRDefault="00A433D1" w:rsidP="00A433D1">
      <w:pPr>
        <w:numPr>
          <w:ilvl w:val="1"/>
          <w:numId w:val="3"/>
        </w:numPr>
        <w:shd w:val="clear" w:color="auto" w:fill="CCCCCC"/>
        <w:spacing w:before="100" w:beforeAutospacing="1" w:after="100" w:afterAutospacing="1" w:line="225" w:lineRule="atLeast"/>
        <w:ind w:left="6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налоги, уплачиваемые в целом по организации (на имущество, транспортный и земельный).</w:t>
      </w:r>
    </w:p>
    <w:p w:rsidR="00A433D1" w:rsidRPr="00E44E81" w:rsidRDefault="00A433D1" w:rsidP="00A433D1">
      <w:pPr>
        <w:pStyle w:val="a4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E44E81">
        <w:rPr>
          <w:rFonts w:ascii="Palatino Linotype" w:hAnsi="Palatino Linotype"/>
          <w:color w:val="000000"/>
          <w:sz w:val="28"/>
          <w:szCs w:val="28"/>
        </w:rPr>
        <w:t>Для целей оценки экономической эффективности стратегических решений к постоянным затратам можно отнести</w:t>
      </w:r>
    </w:p>
    <w:p w:rsidR="00A433D1" w:rsidRPr="00E44E81" w:rsidRDefault="00A433D1" w:rsidP="00A433D1">
      <w:pPr>
        <w:pStyle w:val="a4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E44E81">
        <w:rPr>
          <w:rFonts w:ascii="Palatino Linotype" w:hAnsi="Palatino Linotype"/>
          <w:i/>
          <w:iCs/>
          <w:color w:val="000000"/>
          <w:sz w:val="28"/>
          <w:szCs w:val="28"/>
        </w:rPr>
        <w:t>"Проценты к уплате"</w:t>
      </w:r>
      <w:r w:rsidRPr="00E44E81">
        <w:rPr>
          <w:rFonts w:ascii="Palatino Linotype" w:hAnsi="Palatino Linotype"/>
          <w:color w:val="000000"/>
          <w:sz w:val="28"/>
          <w:szCs w:val="28"/>
        </w:rPr>
        <w:t> и </w:t>
      </w:r>
      <w:r w:rsidRPr="00E44E81">
        <w:rPr>
          <w:rFonts w:ascii="Palatino Linotype" w:hAnsi="Palatino Linotype"/>
          <w:i/>
          <w:iCs/>
          <w:color w:val="000000"/>
          <w:sz w:val="28"/>
          <w:szCs w:val="28"/>
        </w:rPr>
        <w:t>"Прочие расходы",</w:t>
      </w:r>
      <w:r w:rsidRPr="00E44E81">
        <w:rPr>
          <w:rFonts w:ascii="Palatino Linotype" w:hAnsi="Palatino Linotype"/>
          <w:color w:val="000000"/>
          <w:sz w:val="28"/>
          <w:szCs w:val="28"/>
        </w:rPr>
        <w:t> среди которых можно выделить:</w:t>
      </w:r>
    </w:p>
    <w:p w:rsidR="00A433D1" w:rsidRPr="00E44E81" w:rsidRDefault="00A433D1" w:rsidP="00A433D1">
      <w:pPr>
        <w:numPr>
          <w:ilvl w:val="0"/>
          <w:numId w:val="4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расходы, связанные с предоставлением за плату во временное пользование активов организации;</w:t>
      </w:r>
    </w:p>
    <w:p w:rsidR="00A433D1" w:rsidRPr="00E44E81" w:rsidRDefault="00A433D1" w:rsidP="00A433D1">
      <w:pPr>
        <w:numPr>
          <w:ilvl w:val="0"/>
          <w:numId w:val="4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расходы, связанные с продажей, выбытием и прочим списанием основных фондов и иных активов, отличных от денежных средств;</w:t>
      </w:r>
    </w:p>
    <w:p w:rsidR="00A433D1" w:rsidRPr="00E44E81" w:rsidRDefault="00A433D1" w:rsidP="00A433D1">
      <w:pPr>
        <w:numPr>
          <w:ilvl w:val="0"/>
          <w:numId w:val="4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штрафы, пени, неустойки за нарушение условий договоров, возмещение причиненных организацией убытков;</w:t>
      </w:r>
    </w:p>
    <w:p w:rsidR="00A433D1" w:rsidRPr="00E44E81" w:rsidRDefault="00A433D1" w:rsidP="00A433D1">
      <w:pPr>
        <w:numPr>
          <w:ilvl w:val="0"/>
          <w:numId w:val="4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расходы по операциям с тарой;</w:t>
      </w:r>
    </w:p>
    <w:p w:rsidR="00A433D1" w:rsidRPr="00E44E81" w:rsidRDefault="00A433D1" w:rsidP="00A433D1">
      <w:pPr>
        <w:numPr>
          <w:ilvl w:val="0"/>
          <w:numId w:val="4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– расходы, связанные с рассмотрением дел в судах.</w:t>
      </w:r>
    </w:p>
    <w:p w:rsidR="00A433D1" w:rsidRPr="00E44E81" w:rsidRDefault="00A433D1" w:rsidP="00A433D1">
      <w:pPr>
        <w:numPr>
          <w:ilvl w:val="0"/>
          <w:numId w:val="4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hAnsi="Palatino Linotype"/>
          <w:color w:val="242424"/>
          <w:sz w:val="28"/>
          <w:szCs w:val="28"/>
        </w:rPr>
      </w:pPr>
      <w:r w:rsidRPr="00E44E81">
        <w:rPr>
          <w:rFonts w:ascii="Palatino Linotype" w:hAnsi="Palatino Linotype"/>
          <w:color w:val="242424"/>
          <w:sz w:val="28"/>
          <w:szCs w:val="28"/>
        </w:rPr>
        <w:t>1.5. </w:t>
      </w:r>
      <w:r w:rsidRPr="00E44E81">
        <w:rPr>
          <w:rFonts w:ascii="Palatino Linotype" w:hAnsi="Palatino Linotype"/>
          <w:i/>
          <w:iCs/>
          <w:color w:val="242424"/>
          <w:sz w:val="28"/>
          <w:szCs w:val="28"/>
        </w:rPr>
        <w:t>Подоходные налоги – налог на прибыль</w:t>
      </w:r>
      <w:r w:rsidRPr="00E44E81">
        <w:rPr>
          <w:rFonts w:ascii="Palatino Linotype" w:hAnsi="Palatino Linotype"/>
          <w:color w:val="242424"/>
          <w:sz w:val="28"/>
          <w:szCs w:val="28"/>
        </w:rPr>
        <w:t xml:space="preserve"> (организаций) по ставке 20% от полученных доходов, уменьшенных на величину произведенных расходов. Применительно к наименованию блоков </w:t>
      </w:r>
      <w:r w:rsidRPr="00E44E81">
        <w:rPr>
          <w:rFonts w:ascii="Palatino Linotype" w:hAnsi="Palatino Linotype"/>
          <w:color w:val="242424"/>
          <w:sz w:val="28"/>
          <w:szCs w:val="28"/>
        </w:rPr>
        <w:lastRenderedPageBreak/>
        <w:t>модели расчет суммы налога на прибыль можно представить следующей формулой:</w:t>
      </w:r>
    </w:p>
    <w:p w:rsidR="00A433D1" w:rsidRPr="00E44E81" w:rsidRDefault="00A433D1" w:rsidP="00A433D1">
      <w:pPr>
        <w:pStyle w:val="a4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E44E81">
        <w:rPr>
          <w:rFonts w:ascii="Palatino Linotype" w:hAnsi="Palatino Linotype"/>
          <w:noProof/>
          <w:color w:val="000000"/>
          <w:sz w:val="28"/>
          <w:szCs w:val="28"/>
        </w:rPr>
        <w:drawing>
          <wp:inline distT="0" distB="0" distL="0" distR="0">
            <wp:extent cx="2381250" cy="304800"/>
            <wp:effectExtent l="0" t="0" r="0" b="0"/>
            <wp:docPr id="16" name="Рисунок 16" descr="https://studme.org/imag/logist/serg_logsn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me.org/imag/logist/serg_logsn/image0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E81">
        <w:rPr>
          <w:rFonts w:ascii="Palatino Linotype" w:hAnsi="Palatino Linotype"/>
          <w:color w:val="000000"/>
          <w:sz w:val="28"/>
          <w:szCs w:val="28"/>
        </w:rPr>
        <w:t> (4.14)</w:t>
      </w:r>
    </w:p>
    <w:p w:rsidR="00B96345" w:rsidRDefault="00B96345"/>
    <w:sectPr w:rsidR="00B96345" w:rsidSect="00B9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504"/>
    <w:multiLevelType w:val="multilevel"/>
    <w:tmpl w:val="D894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C6BB6"/>
    <w:multiLevelType w:val="multilevel"/>
    <w:tmpl w:val="D85C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96E28"/>
    <w:multiLevelType w:val="multilevel"/>
    <w:tmpl w:val="8598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E0064"/>
    <w:multiLevelType w:val="multilevel"/>
    <w:tmpl w:val="447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D1"/>
    <w:rsid w:val="00177EB5"/>
    <w:rsid w:val="002610D8"/>
    <w:rsid w:val="00271280"/>
    <w:rsid w:val="004F0783"/>
    <w:rsid w:val="005023BF"/>
    <w:rsid w:val="00A433D1"/>
    <w:rsid w:val="00B96345"/>
    <w:rsid w:val="00BB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D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3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A433D1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A4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locked/>
    <w:rsid w:val="00A4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2019-11-14T13:05:00Z</dcterms:created>
  <dcterms:modified xsi:type="dcterms:W3CDTF">2019-11-14T13:05:00Z</dcterms:modified>
</cp:coreProperties>
</file>